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 w:firstLine="284" w:left="0"/>
        <w:jc w:val="right"/>
      </w:pPr>
      <w:r>
        <w:rPr>
          <w:rFonts w:ascii="Times New Roman" w:hAnsi="Times New Roman"/>
          <w:color w:val="000000"/>
          <w:sz w:val="28"/>
        </w:rPr>
        <w:t>УТВЕРЖДЕН</w:t>
      </w:r>
    </w:p>
    <w:p w14:paraId="02000000">
      <w:pPr>
        <w:pStyle w:val="Style_1"/>
        <w:spacing w:after="0" w:before="0" w:line="240" w:lineRule="auto"/>
        <w:ind w:firstLine="284" w:left="0"/>
        <w:jc w:val="right"/>
      </w:pPr>
      <w:r>
        <w:rPr>
          <w:rFonts w:ascii="Times New Roman" w:hAnsi="Times New Roman"/>
          <w:color w:val="000000"/>
          <w:sz w:val="28"/>
        </w:rPr>
        <w:t xml:space="preserve">Комиссией </w:t>
      </w:r>
    </w:p>
    <w:p w14:paraId="03000000">
      <w:pPr>
        <w:pStyle w:val="Style_1"/>
        <w:spacing w:after="0" w:before="0" w:line="240" w:lineRule="auto"/>
        <w:ind w:firstLine="284" w:left="0"/>
        <w:jc w:val="right"/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по оценке эффективности  </w:t>
      </w:r>
    </w:p>
    <w:p w14:paraId="04000000">
      <w:pPr>
        <w:pStyle w:val="Style_1"/>
        <w:spacing w:after="0" w:before="0" w:line="240" w:lineRule="auto"/>
        <w:ind w:firstLine="284" w:left="0"/>
        <w:jc w:val="right"/>
      </w:pPr>
      <w:r>
        <w:rPr>
          <w:rFonts w:ascii="Times New Roman" w:hAnsi="Times New Roman"/>
          <w:color w:val="000000"/>
          <w:sz w:val="28"/>
        </w:rPr>
        <w:t>функционирования анти-</w:t>
      </w:r>
    </w:p>
    <w:p w14:paraId="05000000">
      <w:pPr>
        <w:pStyle w:val="Style_1"/>
        <w:spacing w:after="0" w:before="0" w:line="240" w:lineRule="auto"/>
        <w:ind w:firstLine="284" w:left="0"/>
        <w:jc w:val="right"/>
      </w:pPr>
      <w:r>
        <w:rPr>
          <w:rFonts w:ascii="Times New Roman" w:hAnsi="Times New Roman"/>
          <w:color w:val="000000"/>
          <w:sz w:val="28"/>
        </w:rPr>
        <w:t>монопольного комплаенса</w:t>
      </w:r>
    </w:p>
    <w:p w14:paraId="06000000">
      <w:pPr>
        <w:pStyle w:val="Style_1"/>
        <w:spacing w:after="0" w:before="0" w:line="240" w:lineRule="auto"/>
        <w:ind w:firstLine="284" w:left="0"/>
        <w:jc w:val="right"/>
      </w:pPr>
      <w:r>
        <w:rPr>
          <w:rFonts w:ascii="Times New Roman" w:hAnsi="Times New Roman"/>
          <w:color w:val="000000"/>
          <w:sz w:val="28"/>
        </w:rPr>
        <w:t>31 января  2024 года</w:t>
      </w:r>
    </w:p>
    <w:p w14:paraId="07000000">
      <w:pPr>
        <w:pStyle w:val="Style_1"/>
        <w:spacing w:after="0" w:before="0" w:line="240" w:lineRule="auto"/>
        <w:ind w:firstLine="284" w:left="0"/>
        <w:jc w:val="right"/>
        <w:rPr>
          <w:rFonts w:ascii="Times New Roman" w:hAnsi="Times New Roman"/>
          <w:b w:val="1"/>
          <w:color w:val="000000"/>
          <w:sz w:val="28"/>
        </w:rPr>
      </w:pPr>
    </w:p>
    <w:p w14:paraId="08000000">
      <w:pPr>
        <w:pStyle w:val="Style_1"/>
        <w:spacing w:after="0" w:before="0" w:line="240" w:lineRule="auto"/>
        <w:ind w:firstLine="284" w:left="0"/>
        <w:jc w:val="center"/>
        <w:rPr>
          <w:rFonts w:ascii="PT Serif" w:hAnsi="PT Serif"/>
          <w:color w:val="222222"/>
          <w:sz w:val="24"/>
        </w:rPr>
      </w:pPr>
      <w:r>
        <w:rPr>
          <w:rFonts w:ascii="inherit" w:hAnsi="inherit"/>
          <w:b w:val="1"/>
          <w:color w:val="000000"/>
          <w:sz w:val="26"/>
        </w:rPr>
        <w:t>Доклад</w:t>
      </w:r>
    </w:p>
    <w:p w14:paraId="09000000">
      <w:pPr>
        <w:pStyle w:val="Style_1"/>
        <w:spacing w:after="0" w:before="0" w:line="240" w:lineRule="auto"/>
        <w:ind w:firstLine="284" w:left="0"/>
        <w:jc w:val="center"/>
      </w:pPr>
      <w:r>
        <w:rPr>
          <w:rFonts w:ascii="inherit" w:hAnsi="inherit"/>
          <w:b w:val="1"/>
          <w:color w:val="000000"/>
          <w:sz w:val="26"/>
        </w:rPr>
        <w:t>об организации системы внутреннего обеспечения соответствия  требованиям антимонопольного законодательства в администрации Тотемского муниципального  округа Вологодской области за 2023 год</w:t>
      </w:r>
    </w:p>
    <w:p w14:paraId="0A000000">
      <w:pPr>
        <w:pStyle w:val="Style_1"/>
        <w:spacing w:after="0" w:before="0" w:line="240" w:lineRule="auto"/>
        <w:ind w:firstLine="284" w:left="0"/>
        <w:jc w:val="center"/>
        <w:rPr>
          <w:rFonts w:ascii="PT Serif" w:hAnsi="PT Serif"/>
          <w:color w:val="222222"/>
          <w:sz w:val="24"/>
        </w:rPr>
      </w:pPr>
      <w:r>
        <w:rPr>
          <w:rFonts w:ascii="inherit" w:hAnsi="inherit"/>
          <w:color w:val="000000"/>
          <w:sz w:val="26"/>
        </w:rPr>
        <w:t> </w:t>
      </w:r>
    </w:p>
    <w:p w14:paraId="0B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целях реализации  Национального плана развития конкуренции в Российской Федерации на 2019 - 2021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постановлением Правительства Вологодской области от 18 марта 2019 года № 268 «О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законодательства» постановлением администрации Тотемского муниципального района 30.04.2019 года № 474 создана система внутреннего обеспечения соответствия требованиям антимонопольного законодательства (далее  – антимонопольный комплаенс).</w:t>
      </w:r>
    </w:p>
    <w:p w14:paraId="0C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color w:val="000000"/>
          <w:sz w:val="28"/>
        </w:rPr>
        <w:t>Постановление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администрации Тотемского муниципального района от 30.04.2019 №  474  «</w:t>
      </w:r>
      <w:r>
        <w:rPr>
          <w:rFonts w:ascii="Times New Roman" w:hAnsi="Times New Roman"/>
          <w:sz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Тотемского муниципального района» </w:t>
      </w:r>
      <w:r>
        <w:rPr>
          <w:rFonts w:ascii="Times New Roman" w:hAnsi="Times New Roman"/>
          <w:color w:val="000000"/>
          <w:sz w:val="28"/>
        </w:rPr>
        <w:t>разработано Положение об организации системы внутреннего обеспечения соответствия требованиям антимонопольного законодательства (антимонопольный комплаенс).</w:t>
      </w:r>
    </w:p>
    <w:p w14:paraId="0D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Распоряжением администрации Тотемского муниципального района от 09.08.2019 № 623 «О создании рабочей группы» утвержден состав рабочей группы, осуществляющей полномочия, связанные с организацией и функционированием антимонопольного комплаенса в администрации района. </w:t>
      </w:r>
    </w:p>
    <w:p w14:paraId="0E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color w:val="000000"/>
          <w:sz w:val="28"/>
        </w:rPr>
        <w:t>Функции уполномоченного подразделения, связанные  с организацией и функционированием антимонопольного комплаенса возлагаются на рабочую группу.</w:t>
      </w:r>
    </w:p>
    <w:p w14:paraId="0F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color w:val="000000"/>
          <w:sz w:val="28"/>
        </w:rPr>
        <w:t>Функции коллегиального органа, осуществляющего оценку эффективности и функционирования антимонопольного комплаенса в администрации округа возлагаются на комиссию по оценке эффективности функционирования антимонопольного комплаенса, утвержденного распоряжением администрации района от 09.08.2019 № 622 «О создании Комиссии по эффективности функционирования антимонопольного комплаенса». Распоряжением администрации района от 30.08.2022 № 495 «О внесении изменений в распоряжение администрации Тотемского муниципального района от 09.08.2019 года № 622» утвержден Порядок работы комиссии по оценке эффективности функционирования антимонопольного комплаенса».</w:t>
      </w:r>
    </w:p>
    <w:p w14:paraId="10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решением Муниципального Собрания Тотемского муниципального округа от 29.11.2022 № 62 «Об учреждении администрации Тотемского муниципального округа Вологодской области» администрация Тотемского муниципального округа Вологодской области является правопреемником администрации Тотемского муниципального района.</w:t>
      </w:r>
    </w:p>
    <w:p w14:paraId="11000000">
      <w:pPr>
        <w:pStyle w:val="Style_1"/>
        <w:spacing w:after="0" w:before="0" w:line="240" w:lineRule="auto"/>
        <w:ind w:firstLine="708" w:left="0"/>
        <w:jc w:val="both"/>
      </w:pPr>
    </w:p>
    <w:p w14:paraId="12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целях </w:t>
      </w:r>
      <w:r>
        <w:rPr>
          <w:rFonts w:ascii="Times New Roman" w:hAnsi="Times New Roman"/>
          <w:color w:val="000000"/>
          <w:sz w:val="28"/>
        </w:rPr>
        <w:t>обеспечения открытости и доступа к информации на официальном сайте администрации  Тотемского муниципального округа создан раздел «Антимонопольный  комплаенс».</w:t>
      </w:r>
    </w:p>
    <w:p w14:paraId="13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Задачами антимонопольного комплаенса являются: </w:t>
      </w:r>
    </w:p>
    <w:p w14:paraId="14000000">
      <w:pPr>
        <w:pStyle w:val="Style_1"/>
        <w:spacing w:after="0" w:before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выявление рисков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 (комплаенс-риск);</w:t>
      </w:r>
    </w:p>
    <w:p w14:paraId="15000000">
      <w:pPr>
        <w:pStyle w:val="Style_1"/>
        <w:spacing w:after="0" w:before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управление комплаенс-рисками;</w:t>
      </w:r>
    </w:p>
    <w:p w14:paraId="16000000">
      <w:pPr>
        <w:pStyle w:val="Style_1"/>
        <w:spacing w:after="0" w:before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контроль за соблюдением антимонопольного комплаенса;</w:t>
      </w:r>
    </w:p>
    <w:p w14:paraId="17000000">
      <w:pPr>
        <w:pStyle w:val="Style_1"/>
        <w:spacing w:after="0" w:before="0" w:line="240" w:lineRule="auto"/>
        <w:ind w:firstLine="539" w:left="0"/>
        <w:jc w:val="both"/>
      </w:pPr>
      <w:r>
        <w:rPr>
          <w:rFonts w:ascii="Times New Roman" w:hAnsi="Times New Roman"/>
          <w:sz w:val="28"/>
        </w:rPr>
        <w:t>г) оценка эффективности функционирования в администрации Тотемского муниципального округа антимонопольного комплаенса.</w:t>
      </w:r>
    </w:p>
    <w:p w14:paraId="18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Во исполнение данных задач уполномоченным органом администрации Тотемского муниципального округа проанализированы нарушения антимонопольного законодательства за предыдущие 3 года.</w:t>
      </w:r>
    </w:p>
    <w:p w14:paraId="19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В период 2021-2023 годов Управлением Федеральной антимонопольной службы Вологодской области рассмотрена 1 жалоба </w:t>
      </w:r>
      <w:r>
        <w:rPr>
          <w:rFonts w:ascii="Times New Roman" w:hAnsi="Times New Roman"/>
          <w:sz w:val="28"/>
        </w:rPr>
        <w:t>по Федеральному закону от 05 апреля 2013 года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 xml:space="preserve">», за </w:t>
      </w:r>
      <w:r>
        <w:rPr>
          <w:rFonts w:ascii="Times New Roman" w:hAnsi="Times New Roman"/>
          <w:sz w:val="28"/>
        </w:rPr>
        <w:t>2022 году жалоба признана необоснованной.</w:t>
      </w:r>
    </w:p>
    <w:p w14:paraId="1A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2021 году установлено 1 нарушение в сфере порядка управления и распоряжения муниципальным имуществом:</w:t>
      </w:r>
    </w:p>
    <w:p w14:paraId="1B000000">
      <w:pPr>
        <w:pStyle w:val="Style_1"/>
        <w:spacing w:after="0" w:before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- наличие в бездействии комитета имущественных отношений  админис-трации Тотемского муниципального района признаков нарушения ч.1 ст. 15 Федерального закона от 26.07.2006 № 135-ФЗ «О защите конкуренции», выразившегося в не проведении конкурса на заключение договора управления многоквартирным домом с управляющей организацией в силу ст. </w:t>
      </w:r>
      <w:r>
        <w:rPr>
          <w:rFonts w:ascii="Times New Roman" w:hAnsi="Times New Roman"/>
          <w:sz w:val="28"/>
        </w:rPr>
        <w:t xml:space="preserve">161, 200 ЖК РФ и Правил № 75, </w:t>
      </w:r>
      <w:r>
        <w:rPr>
          <w:rFonts w:ascii="Times New Roman" w:hAnsi="Times New Roman"/>
          <w:sz w:val="28"/>
        </w:rPr>
        <w:t>утвержденных постановлением Правительства РФ от 06.02.2006 «</w:t>
      </w:r>
      <w:bookmarkStart w:id="1" w:name="p_13670"/>
      <w:bookmarkEnd w:id="1"/>
      <w:r>
        <w:rPr>
          <w:rFonts w:ascii="Times New Roman" w:hAnsi="Times New Roman"/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 xml:space="preserve">ынесено предупреждение о прекращении действий (бездействий), которые содержат признаки </w:t>
      </w:r>
      <w:r>
        <w:rPr>
          <w:rFonts w:ascii="Times New Roman" w:hAnsi="Times New Roman"/>
          <w:sz w:val="28"/>
        </w:rPr>
        <w:t>антимонопольного законодательства.</w:t>
      </w:r>
    </w:p>
    <w:p w14:paraId="1C000000">
      <w:pPr>
        <w:pStyle w:val="Style_1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          </w:t>
      </w:r>
    </w:p>
    <w:p w14:paraId="1D000000">
      <w:pPr>
        <w:pStyle w:val="Style_1"/>
        <w:spacing w:after="0" w:before="0" w:line="240" w:lineRule="auto"/>
        <w:ind w:firstLine="0" w:left="0"/>
        <w:jc w:val="both"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выявления и исключения рисков нарушения антимонопольного законодательства  нормативные правовые акты администрации округа поддерживаются в актуальном состоянии, проекты нормативных правовых актов проходят обязательную правовую и антикоррупционную экспертизу.</w:t>
      </w:r>
    </w:p>
    <w:p w14:paraId="1E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замечаний и предложений к нормативным правовым актам не имеется. По итогам проведенного анализа нормативных правовых актов сделан вывод об их соответствии антимонопольному законодательству. </w:t>
      </w:r>
    </w:p>
    <w:p w14:paraId="1F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Уполномоченным органом выявлены риски нарушения антимонопольного законодательства при осуществлении администрацией округа деятельности по решению вопросов местного значения. </w:t>
      </w:r>
    </w:p>
    <w:p w14:paraId="20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Риски нарушения антимонопольного законодательства возможны в следующих сферах деятельности: осуществление закупок товаров, работ, услуг для обеспечения муниципальных нужд; управление и распоряжение муниципальным имуществом; принятие нормативных правовых актов. </w:t>
      </w:r>
    </w:p>
    <w:p w14:paraId="21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С учетом выявленных рисков нарушения антимонопольного законодательства были проведены мероприятия по снижению рисков нарушения антимонопольного законодательства, включающий, в том числе: </w:t>
      </w:r>
    </w:p>
    <w:p w14:paraId="2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проведение анализа действующих нормативных правовых актов администрации округа на предмет выявления рисков нарушения антимонопольного законодательства; </w:t>
      </w:r>
    </w:p>
    <w:p w14:paraId="23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проведение анализа проектов нормативных правовых актов администрации на предмет выявления рисков антимонопольного законодательства; </w:t>
      </w:r>
    </w:p>
    <w:p w14:paraId="24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мероприятия по повышению профессиональной компетентности специалистов администрации округа; </w:t>
      </w:r>
    </w:p>
    <w:p w14:paraId="25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- изучение правоприменительной практики антимонопольных органов, судов.</w:t>
      </w:r>
    </w:p>
    <w:p w14:paraId="26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Данные мероприятия исполнялись администрацией округа и по состоянию на 1 января 2024 года достигнуты ключевые показатели эффективности функционирования антимонопольного комплаенса: </w:t>
      </w:r>
    </w:p>
    <w:p w14:paraId="27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1) количество нарушений антимонопольного законодательства (по сравнению с предыдущим годом) - 0 (в 2021 году допущено 1 нарушение антимонопольного законодательства со стороны администрации района); </w:t>
      </w:r>
    </w:p>
    <w:p w14:paraId="2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доля проектов нормативных правовых актов, в которых выявлены риски нарушения антимонопольного законодательства - 0 (в отчетном периоде нормативных правовых актов в которых антимонопольным органом выявлены нарушения антимонопольного законодательства, не имеется); </w:t>
      </w:r>
    </w:p>
    <w:p w14:paraId="29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3) доля нормативных правовых актов администрации округа, в которых выявлены риски нарушения антимонопольного законодательства - 0 (в отчетном периоде нормативных правовых актов администрации 0 , в которых антимонопольным органом выявлены нарушения антимонопольного законодательства - 0 нарушение в 2021 году).</w:t>
      </w:r>
    </w:p>
    <w:p w14:paraId="2A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4) количество нарушений антимонопольного законодательства в сфере  порядка управления и распоряжения муниципальным имуществом – 0 (в 2020 году нарушений антимонопольного законодательства в данной сфере - 0 нарушение). </w:t>
      </w:r>
    </w:p>
    <w:p w14:paraId="2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C000000">
      <w:pPr>
        <w:pStyle w:val="Style_1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ключевых показателей эффективности реализации мероприятий антимонопольного комплаенса</w:t>
      </w:r>
    </w:p>
    <w:p w14:paraId="2D000000">
      <w:pPr>
        <w:pStyle w:val="Style_1"/>
        <w:spacing w:after="0" w:before="0" w:line="240" w:lineRule="auto"/>
        <w:ind w:firstLine="709" w:left="0"/>
        <w:jc w:val="left"/>
        <w:rPr>
          <w:rFonts w:ascii="Times New Roman" w:hAnsi="Times New Roman"/>
          <w:sz w:val="28"/>
        </w:rPr>
      </w:pPr>
    </w:p>
    <w:p w14:paraId="2E000000">
      <w:pPr>
        <w:pStyle w:val="Style_1"/>
        <w:spacing w:after="0" w:before="0" w:line="240" w:lineRule="auto"/>
        <w:ind w:hanging="11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Доля муниципальных правовых актов принятых по вопросам компетенции администрации Тотемского муниципального округа, в которых выявлены риски нарушений антимономольного законодательства - 30 баллов.</w:t>
      </w:r>
    </w:p>
    <w:p w14:paraId="2F000000">
      <w:pPr>
        <w:pStyle w:val="Style_1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Нарушений в 2023 году не имелось.</w:t>
      </w:r>
    </w:p>
    <w:p w14:paraId="30000000">
      <w:pPr>
        <w:pStyle w:val="Style_1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 Доля проектов муниципальных нормативных правовых актов, принимаемых по вопросам компетенции администрации Тотемского муниципального округа, в которых выявлены риски нарушения антимонопольного законодательства – 40 баллов.</w:t>
      </w:r>
    </w:p>
    <w:p w14:paraId="31000000">
      <w:pPr>
        <w:pStyle w:val="Style_1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нарушений не имелось. </w:t>
      </w:r>
    </w:p>
    <w:p w14:paraId="3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 Факт выдачи предупреждения и (или) решения (предписания) по результатам  рассмотрения дела о нарушении антимонопольного законодательства (за исключением предупреждений, решений, предписаний, признанных незаконными вступившими в законную силу судебным актом) – 30 баллов.</w:t>
      </w:r>
    </w:p>
    <w:p w14:paraId="3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предупреждений, решений (предписаний) по администрации Тотемского муниципального округа не имелось.</w:t>
      </w:r>
    </w:p>
    <w:p w14:paraId="3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Сумма баллов оценки эффективности антимонопольного законодательства за 2023 год по администрации Тотемского муниципального округа составила 100 баллов.  Высокая эффективность.</w:t>
      </w:r>
    </w:p>
    <w:p w14:paraId="35000000">
      <w:pPr>
        <w:pStyle w:val="Style_1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6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00000">
      <w:pPr>
        <w:pStyle w:val="Style_1"/>
        <w:spacing w:after="200" w:before="0"/>
        <w:ind/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A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A"/>
      <w:sz w:val="22"/>
    </w:rPr>
  </w:style>
  <w:style w:styleId="Style_2" w:type="paragraph">
    <w:name w:val="Normal (Web)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1_ch"/>
    <w:link w:val="Style_2"/>
    <w:rPr>
      <w:rFonts w:ascii="Times New Roman" w:hAnsi="Times New Roman"/>
      <w:sz w:val="24"/>
    </w:rPr>
  </w:style>
  <w:style w:styleId="Style_3" w:type="paragraph">
    <w:name w:val="Основной текст"/>
    <w:basedOn w:val="Style_1"/>
    <w:link w:val="Style_3_ch"/>
    <w:pPr>
      <w:spacing w:after="140" w:before="0" w:line="288" w:lineRule="auto"/>
      <w:ind/>
    </w:pPr>
  </w:style>
  <w:style w:styleId="Style_3_ch" w:type="character">
    <w:name w:val="Основной текст"/>
    <w:basedOn w:val="Style_1_ch"/>
    <w:link w:val="Style_3"/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Заголовок 2 Знак"/>
    <w:basedOn w:val="Style_6"/>
    <w:link w:val="Style_5_ch"/>
    <w:rPr>
      <w:rFonts w:ascii="Times New Roman" w:hAnsi="Times New Roman"/>
      <w:b w:val="1"/>
      <w:sz w:val="36"/>
    </w:rPr>
  </w:style>
  <w:style w:styleId="Style_5_ch" w:type="character">
    <w:name w:val="Заголовок 2 Знак"/>
    <w:basedOn w:val="Style_6_ch"/>
    <w:link w:val="Style_5"/>
    <w:rPr>
      <w:rFonts w:ascii="Times New Roman" w:hAnsi="Times New Roman"/>
      <w:b w:val="1"/>
      <w:sz w:val="36"/>
    </w:rPr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аголовок"/>
    <w:basedOn w:val="Style_1"/>
    <w:next w:val="Style_3"/>
    <w:link w:val="Style_1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_ch" w:type="character">
    <w:name w:val="Заголовок"/>
    <w:basedOn w:val="Style_1_ch"/>
    <w:link w:val="Style_10"/>
    <w:rPr>
      <w:rFonts w:ascii="Liberation Sans" w:hAnsi="Liberation Sans"/>
      <w:sz w:val="28"/>
    </w:rPr>
  </w:style>
  <w:style w:styleId="Style_11" w:type="paragraph">
    <w:name w:val="89pt"/>
    <w:basedOn w:val="Style_6"/>
    <w:link w:val="Style_11_ch"/>
  </w:style>
  <w:style w:styleId="Style_11_ch" w:type="character">
    <w:name w:val="89pt"/>
    <w:basedOn w:val="Style_6_ch"/>
    <w:link w:val="Style_11"/>
  </w:style>
  <w:style w:styleId="Style_12" w:type="paragraph">
    <w:name w:val="Название"/>
    <w:basedOn w:val="Style_1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Название"/>
    <w:basedOn w:val="Style_1_ch"/>
    <w:link w:val="Style_12"/>
    <w:rPr>
      <w:i w:val="1"/>
      <w:sz w:val="24"/>
    </w:rPr>
  </w:style>
  <w:style w:styleId="Style_13" w:type="paragraph">
    <w:name w:val="heading 3"/>
    <w:next w:val="Style_1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 №1_"/>
    <w:basedOn w:val="Style_6"/>
    <w:link w:val="Style_14_ch"/>
    <w:rPr>
      <w:rFonts w:ascii="Times New Roman" w:hAnsi="Times New Roman"/>
      <w:sz w:val="26"/>
      <w:highlight w:val="white"/>
    </w:rPr>
  </w:style>
  <w:style w:styleId="Style_14_ch" w:type="character">
    <w:name w:val="Заголовок №1_"/>
    <w:basedOn w:val="Style_6_ch"/>
    <w:link w:val="Style_14"/>
    <w:rPr>
      <w:rFonts w:ascii="Times New Roman" w:hAnsi="Times New Roman"/>
      <w:sz w:val="26"/>
      <w:highlight w:val="white"/>
    </w:rPr>
  </w:style>
  <w:style w:styleId="Style_15" w:type="paragraph">
    <w:name w:val="8"/>
    <w:basedOn w:val="Style_6"/>
    <w:link w:val="Style_15_ch"/>
  </w:style>
  <w:style w:styleId="Style_15_ch" w:type="character">
    <w:name w:val="8"/>
    <w:basedOn w:val="Style_6_ch"/>
    <w:link w:val="Style_15"/>
  </w:style>
  <w:style w:styleId="Style_16" w:type="paragraph">
    <w:name w:val="Содержимое врезки"/>
    <w:basedOn w:val="Style_1"/>
    <w:link w:val="Style_16_ch"/>
  </w:style>
  <w:style w:styleId="Style_16_ch" w:type="character">
    <w:name w:val="Содержимое врезки"/>
    <w:basedOn w:val="Style_1_ch"/>
    <w:link w:val="Style_16"/>
  </w:style>
  <w:style w:styleId="Style_17" w:type="paragraph">
    <w:name w:val="Список"/>
    <w:basedOn w:val="Style_3"/>
    <w:link w:val="Style_17_ch"/>
  </w:style>
  <w:style w:styleId="Style_17_ch" w:type="character">
    <w:name w:val="Список"/>
    <w:basedOn w:val="Style_3_ch"/>
    <w:link w:val="Style_17"/>
  </w:style>
  <w:style w:styleId="Style_18" w:type="paragraph">
    <w:name w:val="Основной текст (2)_"/>
    <w:basedOn w:val="Style_6"/>
    <w:link w:val="Style_18_ch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18_ch" w:type="character">
    <w:name w:val="Основной текст (2)_"/>
    <w:basedOn w:val="Style_6_ch"/>
    <w:link w:val="Style_18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19" w:type="paragraph">
    <w:name w:val="toc 3"/>
    <w:next w:val="Style_1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1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1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Strong"/>
    <w:basedOn w:val="Style_6"/>
    <w:link w:val="Style_26_ch"/>
    <w:rPr>
      <w:b w:val="1"/>
    </w:rPr>
  </w:style>
  <w:style w:styleId="Style_26_ch" w:type="character">
    <w:name w:val="Strong"/>
    <w:basedOn w:val="Style_6_ch"/>
    <w:link w:val="Style_26"/>
    <w:rPr>
      <w:b w:val="1"/>
    </w:rPr>
  </w:style>
  <w:style w:styleId="Style_27" w:type="paragraph">
    <w:name w:val="Заголовок №1"/>
    <w:basedOn w:val="Style_1"/>
    <w:link w:val="Style_27_ch"/>
    <w:pPr>
      <w:widowControl w:val="0"/>
      <w:spacing w:after="0" w:before="300" w:line="298" w:lineRule="exact"/>
      <w:ind/>
      <w:jc w:val="center"/>
      <w:outlineLvl w:val="0"/>
    </w:pPr>
    <w:rPr>
      <w:rFonts w:ascii="Times New Roman" w:hAnsi="Times New Roman"/>
      <w:b w:val="1"/>
      <w:sz w:val="26"/>
    </w:rPr>
  </w:style>
  <w:style w:styleId="Style_27_ch" w:type="character">
    <w:name w:val="Заголовок №1"/>
    <w:basedOn w:val="Style_1_ch"/>
    <w:link w:val="Style_27"/>
    <w:rPr>
      <w:rFonts w:ascii="Times New Roman" w:hAnsi="Times New Roman"/>
      <w:b w:val="1"/>
      <w:sz w:val="26"/>
    </w:rPr>
  </w:style>
  <w:style w:styleId="Style_28" w:type="paragraph">
    <w:name w:val="toc 9"/>
    <w:next w:val="Style_1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9" w:type="paragraph">
    <w:name w:val="toc 8"/>
    <w:next w:val="Style_1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Заголовок 2"/>
    <w:basedOn w:val="Style_1"/>
    <w:link w:val="Style_30_ch"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0_ch" w:type="character">
    <w:name w:val="Заголовок 2"/>
    <w:basedOn w:val="Style_1_ch"/>
    <w:link w:val="Style_30"/>
    <w:rPr>
      <w:rFonts w:ascii="Times New Roman" w:hAnsi="Times New Roman"/>
      <w:b w:val="1"/>
      <w:sz w:val="36"/>
    </w:rPr>
  </w:style>
  <w:style w:styleId="Style_31" w:type="paragraph">
    <w:name w:val="No Spacing"/>
    <w:basedOn w:val="Style_1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No Spacing"/>
    <w:basedOn w:val="Style_1_ch"/>
    <w:link w:val="Style_31"/>
    <w:rPr>
      <w:rFonts w:ascii="Times New Roman" w:hAnsi="Times New Roman"/>
      <w:sz w:val="24"/>
    </w:rPr>
  </w:style>
  <w:style w:styleId="Style_32" w:type="paragraph">
    <w:name w:val="toc 5"/>
    <w:next w:val="Style_1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1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Основной текст (2)"/>
    <w:basedOn w:val="Style_18"/>
    <w:link w:val="Style_34_ch"/>
    <w:rPr>
      <w:color w:val="000000"/>
      <w:spacing w:val="0"/>
      <w:sz w:val="24"/>
    </w:rPr>
  </w:style>
  <w:style w:styleId="Style_34_ch" w:type="character">
    <w:name w:val="Основной текст (2)"/>
    <w:basedOn w:val="Style_18_ch"/>
    <w:link w:val="Style_34"/>
    <w:rPr>
      <w:color w:val="000000"/>
      <w:spacing w:val="0"/>
      <w:sz w:val="24"/>
    </w:rPr>
  </w:style>
  <w:style w:styleId="Style_35" w:type="paragraph">
    <w:name w:val="Указатель"/>
    <w:basedOn w:val="Style_1"/>
    <w:link w:val="Style_35_ch"/>
  </w:style>
  <w:style w:styleId="Style_35_ch" w:type="character">
    <w:name w:val="Указатель"/>
    <w:basedOn w:val="Style_1_ch"/>
    <w:link w:val="Style_35"/>
  </w:style>
  <w:style w:styleId="Style_36" w:type="paragraph">
    <w:name w:val="Title"/>
    <w:next w:val="Style_1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2024-02-08T10:40:02Z</dcterms:modified>
</cp:coreProperties>
</file>